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8D8" w:rsidRPr="000A28D8" w:rsidRDefault="000A28D8" w:rsidP="000A28D8">
      <w:pPr>
        <w:widowControl/>
        <w:jc w:val="left"/>
        <w:rPr>
          <w:rFonts w:ascii="宋体" w:eastAsia="宋体" w:hAnsi="宋体" w:cs="宋体"/>
          <w:vanish/>
          <w:kern w:val="0"/>
          <w:sz w:val="24"/>
          <w:szCs w:val="24"/>
        </w:rPr>
      </w:pPr>
    </w:p>
    <w:tbl>
      <w:tblPr>
        <w:tblW w:w="9336" w:type="dxa"/>
        <w:jc w:val="center"/>
        <w:tblCellSpacing w:w="0" w:type="dxa"/>
        <w:tblCellMar>
          <w:left w:w="0" w:type="dxa"/>
          <w:right w:w="0" w:type="dxa"/>
        </w:tblCellMar>
        <w:tblLook w:val="04A0"/>
      </w:tblPr>
      <w:tblGrid>
        <w:gridCol w:w="9336"/>
      </w:tblGrid>
      <w:tr w:rsidR="000A28D8" w:rsidRPr="000A28D8" w:rsidTr="000A28D8">
        <w:trPr>
          <w:trHeight w:val="7560"/>
          <w:tblCellSpacing w:w="0" w:type="dxa"/>
          <w:jc w:val="center"/>
        </w:trPr>
        <w:tc>
          <w:tcPr>
            <w:tcW w:w="0" w:type="auto"/>
            <w:hideMark/>
          </w:tcPr>
          <w:tbl>
            <w:tblPr>
              <w:tblW w:w="5000" w:type="pct"/>
              <w:tblCellSpacing w:w="0" w:type="dxa"/>
              <w:tblCellMar>
                <w:left w:w="0" w:type="dxa"/>
                <w:right w:w="0" w:type="dxa"/>
              </w:tblCellMar>
              <w:tblLook w:val="04A0"/>
            </w:tblPr>
            <w:tblGrid>
              <w:gridCol w:w="9336"/>
            </w:tblGrid>
            <w:tr w:rsidR="000A28D8" w:rsidRPr="000A28D8">
              <w:trPr>
                <w:tblCellSpacing w:w="0" w:type="dxa"/>
              </w:trPr>
              <w:tc>
                <w:tcPr>
                  <w:tcW w:w="0" w:type="auto"/>
                  <w:hideMark/>
                </w:tcPr>
                <w:tbl>
                  <w:tblPr>
                    <w:tblW w:w="5000" w:type="pct"/>
                    <w:tblCellSpacing w:w="0" w:type="dxa"/>
                    <w:tblCellMar>
                      <w:left w:w="0" w:type="dxa"/>
                      <w:right w:w="0" w:type="dxa"/>
                    </w:tblCellMar>
                    <w:tblLook w:val="04A0"/>
                  </w:tblPr>
                  <w:tblGrid>
                    <w:gridCol w:w="9336"/>
                  </w:tblGrid>
                  <w:tr w:rsidR="000A28D8" w:rsidRPr="000A28D8">
                    <w:trPr>
                      <w:trHeight w:val="240"/>
                      <w:tblCellSpacing w:w="0" w:type="dxa"/>
                    </w:trPr>
                    <w:tc>
                      <w:tcPr>
                        <w:tcW w:w="0" w:type="auto"/>
                        <w:vAlign w:val="center"/>
                        <w:hideMark/>
                      </w:tcPr>
                      <w:p w:rsidR="000A28D8" w:rsidRPr="000A28D8" w:rsidRDefault="000A28D8" w:rsidP="000A28D8">
                        <w:pPr>
                          <w:widowControl/>
                          <w:spacing w:line="240" w:lineRule="atLeast"/>
                          <w:jc w:val="left"/>
                          <w:rPr>
                            <w:rFonts w:ascii="宋体" w:eastAsia="宋体" w:hAnsi="宋体" w:cs="宋体"/>
                            <w:kern w:val="0"/>
                            <w:sz w:val="18"/>
                            <w:szCs w:val="18"/>
                          </w:rPr>
                        </w:pPr>
                        <w:r w:rsidRPr="000A28D8">
                          <w:rPr>
                            <w:rFonts w:ascii="宋体" w:eastAsia="宋体" w:hAnsi="宋体" w:cs="宋体"/>
                            <w:kern w:val="0"/>
                            <w:sz w:val="18"/>
                            <w:szCs w:val="18"/>
                          </w:rPr>
                          <w:t> </w:t>
                        </w:r>
                      </w:p>
                    </w:tc>
                  </w:tr>
                </w:tbl>
                <w:p w:rsidR="000A28D8" w:rsidRPr="000A28D8" w:rsidRDefault="000A28D8" w:rsidP="000A28D8">
                  <w:pPr>
                    <w:widowControl/>
                    <w:spacing w:line="240" w:lineRule="atLeast"/>
                    <w:jc w:val="left"/>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tblPr>
                  <w:tblGrid>
                    <w:gridCol w:w="9336"/>
                  </w:tblGrid>
                  <w:tr w:rsidR="000A28D8" w:rsidRPr="000A28D8">
                    <w:trPr>
                      <w:tblCellSpacing w:w="0"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tblPr>
                        <w:tblGrid>
                          <w:gridCol w:w="8402"/>
                        </w:tblGrid>
                        <w:tr w:rsidR="000A28D8" w:rsidRPr="000A28D8">
                          <w:trPr>
                            <w:tblCellSpacing w:w="15" w:type="dxa"/>
                            <w:jc w:val="center"/>
                          </w:trPr>
                          <w:tc>
                            <w:tcPr>
                              <w:tcW w:w="0" w:type="auto"/>
                              <w:vAlign w:val="center"/>
                              <w:hideMark/>
                            </w:tcPr>
                            <w:p w:rsidR="000A28D8" w:rsidRPr="000A28D8" w:rsidRDefault="000A28D8" w:rsidP="000A28D8">
                              <w:pPr>
                                <w:widowControl/>
                                <w:spacing w:line="240" w:lineRule="atLeast"/>
                                <w:jc w:val="center"/>
                                <w:rPr>
                                  <w:rFonts w:ascii="宋体" w:eastAsia="宋体" w:hAnsi="宋体" w:cs="宋体"/>
                                  <w:b/>
                                  <w:bCs/>
                                  <w:color w:val="000000"/>
                                  <w:kern w:val="0"/>
                                  <w:sz w:val="32"/>
                                  <w:szCs w:val="32"/>
                                </w:rPr>
                              </w:pPr>
                              <w:r w:rsidRPr="000A28D8">
                                <w:rPr>
                                  <w:rFonts w:ascii="宋体" w:eastAsia="宋体" w:hAnsi="宋体" w:cs="宋体"/>
                                  <w:b/>
                                  <w:bCs/>
                                  <w:color w:val="000000"/>
                                  <w:kern w:val="0"/>
                                  <w:sz w:val="32"/>
                                  <w:szCs w:val="32"/>
                                </w:rPr>
                                <w:t>北京大学医学部博士后研究人员激励计划</w:t>
                              </w:r>
                            </w:p>
                            <w:p w:rsidR="000A28D8" w:rsidRPr="000A28D8" w:rsidRDefault="000A28D8" w:rsidP="000A28D8">
                              <w:pPr>
                                <w:widowControl/>
                                <w:spacing w:line="240" w:lineRule="atLeast"/>
                                <w:jc w:val="center"/>
                                <w:rPr>
                                  <w:rFonts w:ascii="宋体" w:eastAsia="宋体" w:hAnsi="宋体" w:cs="宋体"/>
                                  <w:b/>
                                  <w:bCs/>
                                  <w:color w:val="000000"/>
                                  <w:kern w:val="0"/>
                                  <w:sz w:val="32"/>
                                  <w:szCs w:val="32"/>
                                </w:rPr>
                              </w:pPr>
                              <w:r w:rsidRPr="000A28D8">
                                <w:rPr>
                                  <w:rFonts w:ascii="宋体" w:eastAsia="宋体" w:hAnsi="宋体" w:cs="宋体"/>
                                  <w:b/>
                                  <w:bCs/>
                                  <w:color w:val="000000"/>
                                  <w:kern w:val="0"/>
                                  <w:sz w:val="32"/>
                                  <w:szCs w:val="32"/>
                                </w:rPr>
                                <w:pict>
                                  <v:rect id="_x0000_i1025" style="width:0;height:.6pt" o:hralign="center" o:hrstd="t" o:hrnoshade="t" o:hr="t" fillcolor="#ddd" stroked="f"/>
                                </w:pict>
                              </w:r>
                            </w:p>
                          </w:tc>
                        </w:tr>
                        <w:tr w:rsidR="000A28D8" w:rsidRPr="000A28D8">
                          <w:trPr>
                            <w:tblCellSpacing w:w="15" w:type="dxa"/>
                            <w:jc w:val="center"/>
                          </w:trPr>
                          <w:tc>
                            <w:tcPr>
                              <w:tcW w:w="0" w:type="auto"/>
                              <w:vAlign w:val="center"/>
                              <w:hideMark/>
                            </w:tcPr>
                            <w:p w:rsidR="000A28D8" w:rsidRPr="000A28D8" w:rsidRDefault="000A28D8" w:rsidP="000A28D8">
                              <w:pPr>
                                <w:widowControl/>
                                <w:spacing w:after="240" w:line="240" w:lineRule="atLeast"/>
                                <w:jc w:val="left"/>
                                <w:rPr>
                                  <w:rFonts w:ascii="宋体" w:eastAsia="宋体" w:hAnsi="宋体" w:cs="宋体"/>
                                  <w:kern w:val="0"/>
                                  <w:sz w:val="18"/>
                                  <w:szCs w:val="18"/>
                                </w:rPr>
                              </w:pPr>
                            </w:p>
                          </w:tc>
                        </w:tr>
                        <w:tr w:rsidR="000A28D8" w:rsidRPr="000A28D8">
                          <w:trPr>
                            <w:tblCellSpacing w:w="15" w:type="dxa"/>
                            <w:jc w:val="center"/>
                          </w:trPr>
                          <w:tc>
                            <w:tcPr>
                              <w:tcW w:w="0" w:type="auto"/>
                              <w:vAlign w:val="center"/>
                            </w:tcPr>
                            <w:p w:rsidR="000A28D8" w:rsidRPr="000A28D8" w:rsidRDefault="000A28D8" w:rsidP="000A28D8">
                              <w:pPr>
                                <w:widowControl/>
                                <w:spacing w:line="264" w:lineRule="atLeast"/>
                                <w:jc w:val="left"/>
                                <w:rPr>
                                  <w:rFonts w:ascii="宋体" w:eastAsia="宋体" w:hAnsi="宋体" w:cs="宋体" w:hint="eastAsia"/>
                                  <w:kern w:val="0"/>
                                  <w:szCs w:val="21"/>
                                </w:rPr>
                              </w:pPr>
                            </w:p>
                            <w:p w:rsidR="000A28D8" w:rsidRPr="000A28D8" w:rsidRDefault="000A28D8" w:rsidP="000A28D8">
                              <w:pPr>
                                <w:widowControl/>
                                <w:spacing w:before="100" w:beforeAutospacing="1" w:after="100" w:afterAutospacing="1" w:line="560" w:lineRule="exact"/>
                                <w:jc w:val="right"/>
                                <w:rPr>
                                  <w:rFonts w:ascii="宋体" w:eastAsia="宋体" w:hAnsi="宋体" w:cs="宋体" w:hint="eastAsia"/>
                                  <w:kern w:val="0"/>
                                  <w:sz w:val="24"/>
                                  <w:szCs w:val="24"/>
                                </w:rPr>
                              </w:pPr>
                              <w:r w:rsidRPr="000A28D8">
                                <w:rPr>
                                  <w:rFonts w:ascii="宋体" w:eastAsia="宋体" w:hAnsi="宋体" w:cs="宋体" w:hint="eastAsia"/>
                                  <w:kern w:val="0"/>
                                  <w:sz w:val="28"/>
                                  <w:szCs w:val="28"/>
                                </w:rPr>
                                <w:t>北医（2010）部人字164号</w:t>
                              </w:r>
                            </w:p>
                            <w:p w:rsidR="000A28D8" w:rsidRPr="000A28D8" w:rsidRDefault="000A28D8" w:rsidP="000A28D8">
                              <w:pPr>
                                <w:widowControl/>
                                <w:spacing w:line="264" w:lineRule="atLeast"/>
                                <w:jc w:val="left"/>
                                <w:rPr>
                                  <w:rFonts w:ascii="宋体" w:eastAsia="宋体" w:hAnsi="宋体" w:cs="宋体"/>
                                  <w:kern w:val="0"/>
                                  <w:sz w:val="28"/>
                                  <w:szCs w:val="28"/>
                                </w:rPr>
                              </w:pPr>
                            </w:p>
                            <w:p w:rsidR="000A28D8" w:rsidRPr="000A28D8" w:rsidRDefault="000A28D8" w:rsidP="000A28D8">
                              <w:pPr>
                                <w:widowControl/>
                                <w:spacing w:before="100" w:beforeAutospacing="1" w:after="100" w:afterAutospacing="1" w:line="264" w:lineRule="atLeast"/>
                                <w:jc w:val="right"/>
                                <w:rPr>
                                  <w:rFonts w:ascii="宋体" w:eastAsia="宋体" w:hAnsi="宋体" w:cs="宋体" w:hint="eastAsia"/>
                                  <w:kern w:val="0"/>
                                  <w:sz w:val="28"/>
                                  <w:szCs w:val="28"/>
                                </w:rPr>
                              </w:pPr>
                              <w:r w:rsidRPr="000A28D8">
                                <w:rPr>
                                  <w:rFonts w:ascii="宋体" w:eastAsia="宋体" w:hAnsi="宋体" w:cs="宋体" w:hint="eastAsia"/>
                                  <w:kern w:val="0"/>
                                  <w:sz w:val="28"/>
                                  <w:szCs w:val="28"/>
                                </w:rPr>
                                <w:t xml:space="preserve">2010年11月18日     </w:t>
                              </w:r>
                            </w:p>
                            <w:p w:rsidR="000A28D8" w:rsidRPr="000A28D8" w:rsidRDefault="000A28D8" w:rsidP="000A28D8">
                              <w:pPr>
                                <w:widowControl/>
                                <w:spacing w:beforeLines="50" w:after="100" w:afterAutospacing="1" w:line="480" w:lineRule="exact"/>
                                <w:ind w:firstLineChars="200" w:firstLine="560"/>
                                <w:jc w:val="left"/>
                                <w:rPr>
                                  <w:rFonts w:ascii="宋体" w:eastAsia="宋体" w:hAnsi="宋体" w:cs="宋体" w:hint="eastAsia"/>
                                  <w:kern w:val="0"/>
                                  <w:sz w:val="28"/>
                                  <w:szCs w:val="28"/>
                                </w:rPr>
                              </w:pPr>
                              <w:r w:rsidRPr="000A28D8">
                                <w:rPr>
                                  <w:rFonts w:ascii="Times New Roman" w:eastAsia="宋体" w:hAnsi="Times New Roman" w:cs="宋体" w:hint="eastAsia"/>
                                  <w:kern w:val="0"/>
                                  <w:sz w:val="28"/>
                                  <w:szCs w:val="28"/>
                                </w:rPr>
                                <w:t>为加强高层次人才队伍建设，吸引更多优秀博士来医学部开展博士后研究工作；鼓励博士后研究人员（下称博士后）在科学研究中自主创新并取得优秀成果；为医学部培养高层次人才，结合医学部博士后工作实际情况，</w:t>
                              </w:r>
                              <w:r w:rsidRPr="000A28D8">
                                <w:rPr>
                                  <w:rFonts w:ascii="宋体" w:eastAsia="宋体" w:hAnsi="宋体" w:cs="宋体" w:hint="eastAsia"/>
                                  <w:kern w:val="0"/>
                                  <w:sz w:val="28"/>
                                  <w:szCs w:val="28"/>
                                </w:rPr>
                                <w:t>特制订北京大学医学部博士后研究人员激励计划</w:t>
                              </w:r>
                              <w:r w:rsidRPr="000A28D8">
                                <w:rPr>
                                  <w:rFonts w:ascii="Times New Roman" w:eastAsia="宋体" w:hAnsi="Times New Roman" w:cs="宋体" w:hint="eastAsia"/>
                                  <w:kern w:val="0"/>
                                  <w:sz w:val="28"/>
                                  <w:szCs w:val="28"/>
                                </w:rPr>
                                <w:t>。</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宋体" w:eastAsia="宋体" w:hAnsi="宋体" w:cs="宋体" w:hint="eastAsia"/>
                                  <w:kern w:val="0"/>
                                  <w:sz w:val="28"/>
                                  <w:szCs w:val="28"/>
                                </w:rPr>
                                <w:t>一、实施原则</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宋体" w:eastAsia="宋体" w:hAnsi="宋体" w:cs="宋体" w:hint="eastAsia"/>
                                  <w:kern w:val="0"/>
                                  <w:sz w:val="28"/>
                                  <w:szCs w:val="28"/>
                                </w:rPr>
                                <w:t>（一）公开招聘、全面考察、平等竞争、科学管理、突出实绩。</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宋体" w:eastAsia="宋体" w:hAnsi="宋体" w:cs="宋体" w:hint="eastAsia"/>
                                  <w:kern w:val="0"/>
                                  <w:sz w:val="28"/>
                                  <w:szCs w:val="28"/>
                                </w:rPr>
                                <w:t>（二）创新体制机制、加大培养力度、鼓励自主创新、促进协调发展，形成博士后培养的合力。</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Times New Roman" w:eastAsia="宋体" w:hAnsi="Times New Roman" w:cs="宋体" w:hint="eastAsia"/>
                                  <w:kern w:val="0"/>
                                  <w:sz w:val="28"/>
                                  <w:szCs w:val="28"/>
                                </w:rPr>
                                <w:t>（三）为使博士后取得更多的科研成果，努力建立多元化的博士后投入、激励和服务保障机制。</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宋体" w:eastAsia="宋体" w:hAnsi="宋体" w:cs="宋体" w:hint="eastAsia"/>
                                  <w:kern w:val="0"/>
                                  <w:sz w:val="28"/>
                                  <w:szCs w:val="28"/>
                                </w:rPr>
                                <w:t>二、激励机制</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宋体" w:eastAsia="宋体" w:hAnsi="宋体" w:cs="宋体" w:hint="eastAsia"/>
                                  <w:kern w:val="0"/>
                                  <w:sz w:val="28"/>
                                  <w:szCs w:val="28"/>
                                </w:rPr>
                                <w:t>（一）拓宽经费渠道，扩大博士后队伍；提高博士后待遇，提高</w:t>
                              </w:r>
                              <w:r w:rsidRPr="000A28D8">
                                <w:rPr>
                                  <w:rFonts w:ascii="宋体" w:eastAsia="宋体" w:hAnsi="宋体" w:cs="宋体" w:hint="eastAsia"/>
                                  <w:kern w:val="0"/>
                                  <w:sz w:val="28"/>
                                  <w:szCs w:val="28"/>
                                </w:rPr>
                                <w:lastRenderedPageBreak/>
                                <w:t>博士后科研工作积极性</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宋体" w:eastAsia="宋体" w:hAnsi="宋体" w:cs="宋体" w:hint="eastAsia"/>
                                  <w:kern w:val="0"/>
                                  <w:sz w:val="28"/>
                                  <w:szCs w:val="28"/>
                                </w:rPr>
                                <w:t>目前医学部博士后经费来源有国家资助、导师自筹、企业资助等形式。今后将通过各种渠道增加经费投入，吸引更多的优秀博士加入，扩大博士后队伍。</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宋体" w:eastAsia="宋体" w:hAnsi="宋体" w:cs="宋体" w:hint="eastAsia"/>
                                  <w:kern w:val="0"/>
                                  <w:sz w:val="28"/>
                                  <w:szCs w:val="28"/>
                                </w:rPr>
                                <w:t>利用“985”经费每年增加13个学校资助名额。各学院按照分配的名额确定国家资助和学校资助博士后人选。经学校审批确定为国家资助或者学校资助名额的博士后，进站后每月工资（不含住房补贴）为5000元。国家资助名额的工资差额部分由学校承担；学校资助名额所需日常经费（包括生活费用和日常公用经费）由学校和导师各承担一半。其余名额的博士后可参照此标准发放工资，经费由导师自筹或企业资助。</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宋体" w:eastAsia="宋体" w:hAnsi="宋体" w:cs="宋体" w:hint="eastAsia"/>
                                  <w:kern w:val="0"/>
                                  <w:sz w:val="28"/>
                                  <w:szCs w:val="28"/>
                                </w:rPr>
                                <w:t>本计划中国家资助和学校资助的博士后指的是2011年1月1日后经全国博士后管委会办公室批准进站且人事档案和工资关系都在医学部本部的博士后。</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宋体" w:eastAsia="宋体" w:hAnsi="宋体" w:cs="宋体" w:hint="eastAsia"/>
                                  <w:kern w:val="0"/>
                                  <w:sz w:val="28"/>
                                  <w:szCs w:val="28"/>
                                </w:rPr>
                                <w:t>（二）加强进站遴选，保证博士后质量</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宋体" w:eastAsia="宋体" w:hAnsi="宋体" w:cs="宋体" w:hint="eastAsia"/>
                                  <w:kern w:val="0"/>
                                  <w:sz w:val="28"/>
                                  <w:szCs w:val="28"/>
                                </w:rPr>
                                <w:t>实行公开招聘、平等竞争、择优录用、保证质量的选拔原则。通过学院设立的博士后专家委员会（或学术委员会）对博士后科研水平、潜力和能力及综合素质等进行评价，确定进站人选，同时科学分配名额，把好入口关。</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宋体" w:eastAsia="宋体" w:hAnsi="宋体" w:cs="宋体" w:hint="eastAsia"/>
                                  <w:kern w:val="0"/>
                                  <w:sz w:val="28"/>
                                  <w:szCs w:val="28"/>
                                </w:rPr>
                                <w:t>（三）加强中期考核工作，奖罚分明，实现过程管理</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宋体" w:eastAsia="宋体" w:hAnsi="宋体" w:cs="宋体" w:hint="eastAsia"/>
                                  <w:kern w:val="0"/>
                                  <w:sz w:val="28"/>
                                  <w:szCs w:val="28"/>
                                </w:rPr>
                                <w:t>进站满一年时，博士后考核小组（5名以上专家，应有1名校外专家）对博士后进行中期考核，结果报医学部审核批准。考核结果分优秀、合格、不合格。考核优秀者可以获得学校的一次性奖励1000元，考核结果为不合格者</w:t>
                              </w:r>
                              <w:proofErr w:type="gramStart"/>
                              <w:r w:rsidRPr="000A28D8">
                                <w:rPr>
                                  <w:rFonts w:ascii="宋体" w:eastAsia="宋体" w:hAnsi="宋体" w:cs="宋体" w:hint="eastAsia"/>
                                  <w:kern w:val="0"/>
                                  <w:sz w:val="28"/>
                                  <w:szCs w:val="28"/>
                                </w:rPr>
                                <w:t>按退站处理</w:t>
                              </w:r>
                              <w:proofErr w:type="gramEnd"/>
                              <w:r w:rsidRPr="000A28D8">
                                <w:rPr>
                                  <w:rFonts w:ascii="宋体" w:eastAsia="宋体" w:hAnsi="宋体" w:cs="宋体" w:hint="eastAsia"/>
                                  <w:kern w:val="0"/>
                                  <w:sz w:val="28"/>
                                  <w:szCs w:val="28"/>
                                </w:rPr>
                                <w:t>。</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宋体" w:eastAsia="宋体" w:hAnsi="宋体" w:cs="宋体" w:hint="eastAsia"/>
                                  <w:kern w:val="0"/>
                                  <w:sz w:val="28"/>
                                  <w:szCs w:val="28"/>
                                </w:rPr>
                                <w:lastRenderedPageBreak/>
                                <w:t>（四）增加科研奖励，催化博士后多出优秀成果</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宋体" w:eastAsia="宋体" w:hAnsi="宋体" w:cs="宋体" w:hint="eastAsia"/>
                                  <w:kern w:val="0"/>
                                  <w:sz w:val="28"/>
                                  <w:szCs w:val="28"/>
                                </w:rPr>
                                <w:t>鼓励博士后在</w:t>
                              </w:r>
                              <w:proofErr w:type="gramStart"/>
                              <w:r w:rsidRPr="000A28D8">
                                <w:rPr>
                                  <w:rFonts w:ascii="宋体" w:eastAsia="宋体" w:hAnsi="宋体" w:cs="宋体" w:hint="eastAsia"/>
                                  <w:kern w:val="0"/>
                                  <w:sz w:val="28"/>
                                  <w:szCs w:val="28"/>
                                </w:rPr>
                                <w:t>站期间</w:t>
                              </w:r>
                              <w:proofErr w:type="gramEnd"/>
                              <w:r w:rsidRPr="000A28D8">
                                <w:rPr>
                                  <w:rFonts w:ascii="宋体" w:eastAsia="宋体" w:hAnsi="宋体" w:cs="宋体" w:hint="eastAsia"/>
                                  <w:kern w:val="0"/>
                                  <w:sz w:val="28"/>
                                  <w:szCs w:val="28"/>
                                </w:rPr>
                                <w:t>通过自主选题、学科交叉、多元合作，迸发创新火花，催熟研究成果。对在</w:t>
                              </w:r>
                              <w:proofErr w:type="gramStart"/>
                              <w:r w:rsidRPr="000A28D8">
                                <w:rPr>
                                  <w:rFonts w:ascii="宋体" w:eastAsia="宋体" w:hAnsi="宋体" w:cs="宋体" w:hint="eastAsia"/>
                                  <w:kern w:val="0"/>
                                  <w:sz w:val="28"/>
                                  <w:szCs w:val="28"/>
                                </w:rPr>
                                <w:t>站期间</w:t>
                              </w:r>
                              <w:proofErr w:type="gramEnd"/>
                              <w:r w:rsidRPr="000A28D8">
                                <w:rPr>
                                  <w:rFonts w:ascii="宋体" w:eastAsia="宋体" w:hAnsi="宋体" w:cs="宋体" w:hint="eastAsia"/>
                                  <w:kern w:val="0"/>
                                  <w:sz w:val="28"/>
                                  <w:szCs w:val="28"/>
                                </w:rPr>
                                <w:t>发表高水平的科研论文的博士后，纳入医学部“优秀SCI论文奖”和“SCI论文引用奖”的评选范围。</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宋体" w:eastAsia="宋体" w:hAnsi="宋体" w:cs="宋体" w:hint="eastAsia"/>
                                  <w:kern w:val="0"/>
                                  <w:sz w:val="28"/>
                                  <w:szCs w:val="28"/>
                                </w:rPr>
                                <w:t>（五）通过优秀博士后的评选，催生优秀人才</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0A28D8">
                                <w:rPr>
                                  <w:rFonts w:ascii="Times New Roman" w:eastAsia="宋体" w:hAnsi="Times New Roman" w:cs="宋体" w:hint="eastAsia"/>
                                  <w:kern w:val="0"/>
                                  <w:sz w:val="28"/>
                                  <w:szCs w:val="28"/>
                                </w:rPr>
                                <w:t>北京大学医学部优秀博士后奖，体现尊重知识、尊重人才的宗旨，坚持公平竞争、</w:t>
                              </w:r>
                              <w:proofErr w:type="gramStart"/>
                              <w:r w:rsidRPr="000A28D8">
                                <w:rPr>
                                  <w:rFonts w:ascii="Times New Roman" w:eastAsia="宋体" w:hAnsi="Times New Roman" w:cs="宋体" w:hint="eastAsia"/>
                                  <w:kern w:val="0"/>
                                  <w:sz w:val="28"/>
                                  <w:szCs w:val="28"/>
                                </w:rPr>
                                <w:t>择优施奖的</w:t>
                              </w:r>
                              <w:proofErr w:type="gramEnd"/>
                              <w:r w:rsidRPr="000A28D8">
                                <w:rPr>
                                  <w:rFonts w:ascii="Times New Roman" w:eastAsia="宋体" w:hAnsi="Times New Roman" w:cs="宋体" w:hint="eastAsia"/>
                                  <w:kern w:val="0"/>
                                  <w:sz w:val="28"/>
                                  <w:szCs w:val="28"/>
                                </w:rPr>
                                <w:t>原则。奖励具有良好的思想品德和科研道德、在基础研究或应用研究领域有重要发现、取得具有重要应用价值（或显著经济效益、社会效益）的研究成果的博士后研究人员。具体评选办法如下：</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宋体" w:eastAsia="宋体" w:hAnsi="宋体" w:cs="宋体"/>
                                  <w:kern w:val="0"/>
                                  <w:sz w:val="28"/>
                                  <w:szCs w:val="28"/>
                                </w:rPr>
                                <w:t xml:space="preserve">1. </w:t>
                              </w:r>
                              <w:r w:rsidRPr="000A28D8">
                                <w:rPr>
                                  <w:rFonts w:ascii="Times New Roman" w:eastAsia="宋体" w:hAnsi="Times New Roman" w:cs="宋体" w:hint="eastAsia"/>
                                  <w:kern w:val="0"/>
                                  <w:sz w:val="28"/>
                                  <w:szCs w:val="28"/>
                                </w:rPr>
                                <w:t>成立北京大学医学部博士后工作专家小组，本着“公开、公平、公正”的原则择优评选优秀博士后，医学部人事处博士后办公室负责医学部优秀博士后的评选和奖励的组织实施工作。</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宋体" w:eastAsia="宋体" w:hAnsi="宋体" w:cs="宋体"/>
                                  <w:kern w:val="0"/>
                                  <w:sz w:val="28"/>
                                  <w:szCs w:val="28"/>
                                </w:rPr>
                                <w:t xml:space="preserve">2. </w:t>
                              </w:r>
                              <w:r w:rsidRPr="000A28D8">
                                <w:rPr>
                                  <w:rFonts w:ascii="Times New Roman" w:eastAsia="宋体" w:hAnsi="Times New Roman" w:cs="宋体" w:hint="eastAsia"/>
                                  <w:kern w:val="0"/>
                                  <w:sz w:val="28"/>
                                  <w:szCs w:val="28"/>
                                </w:rPr>
                                <w:t>北京大学医学部优秀博士后奖授奖范围：</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Times New Roman" w:eastAsia="宋体" w:hAnsi="Times New Roman" w:cs="宋体" w:hint="eastAsia"/>
                                  <w:kern w:val="0"/>
                                  <w:sz w:val="28"/>
                                  <w:szCs w:val="28"/>
                                </w:rPr>
                                <w:t>由医学部招收进站在站期满一年以上（含一年）或出站时间不超过一年（含一年）的博士后研究人员。</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宋体" w:eastAsia="宋体" w:hAnsi="宋体" w:cs="宋体"/>
                                  <w:kern w:val="0"/>
                                  <w:sz w:val="28"/>
                                  <w:szCs w:val="28"/>
                                </w:rPr>
                                <w:t xml:space="preserve">3. </w:t>
                              </w:r>
                              <w:r w:rsidRPr="000A28D8">
                                <w:rPr>
                                  <w:rFonts w:ascii="Times New Roman" w:eastAsia="宋体" w:hAnsi="Times New Roman" w:cs="宋体" w:hint="eastAsia"/>
                                  <w:kern w:val="0"/>
                                  <w:sz w:val="28"/>
                                  <w:szCs w:val="28"/>
                                </w:rPr>
                                <w:t>具备下列条件之一的，可以申请医学部优秀博士后奖：</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Times New Roman" w:eastAsia="宋体" w:hAnsi="Times New Roman" w:cs="宋体" w:hint="eastAsia"/>
                                  <w:kern w:val="0"/>
                                  <w:sz w:val="28"/>
                                  <w:szCs w:val="28"/>
                                </w:rPr>
                                <w:t>（</w:t>
                              </w:r>
                              <w:r w:rsidRPr="000A28D8">
                                <w:rPr>
                                  <w:rFonts w:ascii="宋体" w:eastAsia="宋体" w:hAnsi="宋体" w:cs="宋体"/>
                                  <w:kern w:val="0"/>
                                  <w:sz w:val="28"/>
                                  <w:szCs w:val="28"/>
                                </w:rPr>
                                <w:t>1</w:t>
                              </w:r>
                              <w:r w:rsidRPr="000A28D8">
                                <w:rPr>
                                  <w:rFonts w:ascii="Times New Roman" w:eastAsia="宋体" w:hAnsi="Times New Roman" w:cs="宋体" w:hint="eastAsia"/>
                                  <w:kern w:val="0"/>
                                  <w:sz w:val="28"/>
                                  <w:szCs w:val="28"/>
                                </w:rPr>
                                <w:t>）在基础研究中，提出具有重要科学意义的创新学术思想，具有重要的科学价值。</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Times New Roman" w:eastAsia="宋体" w:hAnsi="Times New Roman" w:cs="宋体" w:hint="eastAsia"/>
                                  <w:kern w:val="0"/>
                                  <w:sz w:val="28"/>
                                  <w:szCs w:val="28"/>
                                </w:rPr>
                                <w:t>（</w:t>
                              </w:r>
                              <w:r w:rsidRPr="000A28D8">
                                <w:rPr>
                                  <w:rFonts w:ascii="宋体" w:eastAsia="宋体" w:hAnsi="宋体" w:cs="宋体"/>
                                  <w:kern w:val="0"/>
                                  <w:sz w:val="28"/>
                                  <w:szCs w:val="28"/>
                                </w:rPr>
                                <w:t>2</w:t>
                              </w:r>
                              <w:r w:rsidRPr="000A28D8">
                                <w:rPr>
                                  <w:rFonts w:ascii="Times New Roman" w:eastAsia="宋体" w:hAnsi="Times New Roman" w:cs="宋体" w:hint="eastAsia"/>
                                  <w:kern w:val="0"/>
                                  <w:sz w:val="28"/>
                                  <w:szCs w:val="28"/>
                                </w:rPr>
                                <w:t>）在应用研究中取得创造性科研成果，成果转化后取得突出经济效益。</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Times New Roman" w:eastAsia="宋体" w:hAnsi="Times New Roman" w:cs="宋体" w:hint="eastAsia"/>
                                  <w:kern w:val="0"/>
                                  <w:sz w:val="28"/>
                                  <w:szCs w:val="28"/>
                                </w:rPr>
                                <w:t>（</w:t>
                              </w:r>
                              <w:r w:rsidRPr="000A28D8">
                                <w:rPr>
                                  <w:rFonts w:ascii="宋体" w:eastAsia="宋体" w:hAnsi="宋体" w:cs="宋体"/>
                                  <w:kern w:val="0"/>
                                  <w:sz w:val="28"/>
                                  <w:szCs w:val="28"/>
                                </w:rPr>
                                <w:t>3</w:t>
                              </w:r>
                              <w:r w:rsidRPr="000A28D8">
                                <w:rPr>
                                  <w:rFonts w:ascii="Times New Roman" w:eastAsia="宋体" w:hAnsi="Times New Roman" w:cs="宋体" w:hint="eastAsia"/>
                                  <w:kern w:val="0"/>
                                  <w:sz w:val="28"/>
                                  <w:szCs w:val="28"/>
                                </w:rPr>
                                <w:t>）有较高的学术造诣和突出的研究才能，对学科建设做出突</w:t>
                              </w:r>
                              <w:r w:rsidRPr="000A28D8">
                                <w:rPr>
                                  <w:rFonts w:ascii="Times New Roman" w:eastAsia="宋体" w:hAnsi="Times New Roman" w:cs="宋体" w:hint="eastAsia"/>
                                  <w:kern w:val="0"/>
                                  <w:sz w:val="28"/>
                                  <w:szCs w:val="28"/>
                                </w:rPr>
                                <w:lastRenderedPageBreak/>
                                <w:t>出贡献，已成为某一研究领域学术带头人。</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宋体" w:eastAsia="宋体" w:hAnsi="宋体" w:cs="宋体"/>
                                  <w:kern w:val="0"/>
                                  <w:sz w:val="28"/>
                                  <w:szCs w:val="28"/>
                                </w:rPr>
                                <w:t xml:space="preserve">4. </w:t>
                              </w:r>
                              <w:r w:rsidRPr="000A28D8">
                                <w:rPr>
                                  <w:rFonts w:ascii="Times New Roman" w:eastAsia="宋体" w:hAnsi="Times New Roman" w:cs="宋体" w:hint="eastAsia"/>
                                  <w:kern w:val="0"/>
                                  <w:sz w:val="28"/>
                                  <w:szCs w:val="28"/>
                                </w:rPr>
                                <w:t>北京大学医学部优秀博士后奖每年评选一次，具体名额根据当年情况确定。</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宋体" w:eastAsia="宋体" w:hAnsi="宋体" w:cs="宋体"/>
                                  <w:kern w:val="0"/>
                                  <w:sz w:val="28"/>
                                  <w:szCs w:val="28"/>
                                </w:rPr>
                                <w:t xml:space="preserve">5. </w:t>
                              </w:r>
                              <w:r w:rsidRPr="000A28D8">
                                <w:rPr>
                                  <w:rFonts w:ascii="Times New Roman" w:eastAsia="宋体" w:hAnsi="Times New Roman" w:cs="宋体" w:hint="eastAsia"/>
                                  <w:kern w:val="0"/>
                                  <w:sz w:val="28"/>
                                  <w:szCs w:val="28"/>
                                </w:rPr>
                                <w:t>医学部优秀博士后待遇</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Times New Roman" w:eastAsia="宋体" w:hAnsi="Times New Roman" w:cs="宋体" w:hint="eastAsia"/>
                                  <w:kern w:val="0"/>
                                  <w:sz w:val="28"/>
                                  <w:szCs w:val="28"/>
                                </w:rPr>
                                <w:t>（</w:t>
                              </w:r>
                              <w:r w:rsidRPr="000A28D8">
                                <w:rPr>
                                  <w:rFonts w:ascii="宋体" w:eastAsia="宋体" w:hAnsi="宋体" w:cs="宋体"/>
                                  <w:kern w:val="0"/>
                                  <w:sz w:val="28"/>
                                  <w:szCs w:val="28"/>
                                </w:rPr>
                                <w:t>1</w:t>
                              </w:r>
                              <w:r w:rsidRPr="000A28D8">
                                <w:rPr>
                                  <w:rFonts w:ascii="Times New Roman" w:eastAsia="宋体" w:hAnsi="Times New Roman" w:cs="宋体" w:hint="eastAsia"/>
                                  <w:kern w:val="0"/>
                                  <w:sz w:val="28"/>
                                  <w:szCs w:val="28"/>
                                </w:rPr>
                                <w:t>）获奖者由医学部颁发证书和奖金。</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Times New Roman" w:eastAsia="宋体" w:hAnsi="Times New Roman" w:cs="宋体" w:hint="eastAsia"/>
                                  <w:kern w:val="0"/>
                                  <w:sz w:val="28"/>
                                  <w:szCs w:val="28"/>
                                </w:rPr>
                                <w:t>（</w:t>
                              </w:r>
                              <w:r w:rsidRPr="000A28D8">
                                <w:rPr>
                                  <w:rFonts w:ascii="宋体" w:eastAsia="宋体" w:hAnsi="宋体" w:cs="宋体"/>
                                  <w:kern w:val="0"/>
                                  <w:sz w:val="28"/>
                                  <w:szCs w:val="28"/>
                                </w:rPr>
                                <w:t>2</w:t>
                              </w:r>
                              <w:r w:rsidRPr="000A28D8">
                                <w:rPr>
                                  <w:rFonts w:ascii="Times New Roman" w:eastAsia="宋体" w:hAnsi="Times New Roman" w:cs="宋体" w:hint="eastAsia"/>
                                  <w:kern w:val="0"/>
                                  <w:sz w:val="28"/>
                                  <w:szCs w:val="28"/>
                                </w:rPr>
                                <w:t>）医学部优秀博士后出站优先获得留校资格。留校博士后原则上享受</w:t>
                              </w:r>
                              <w:r w:rsidRPr="000A28D8">
                                <w:rPr>
                                  <w:rFonts w:ascii="宋体" w:eastAsia="宋体" w:hAnsi="宋体" w:cs="宋体"/>
                                  <w:kern w:val="0"/>
                                  <w:sz w:val="28"/>
                                  <w:szCs w:val="28"/>
                                </w:rPr>
                                <w:t>B3</w:t>
                              </w:r>
                              <w:r w:rsidRPr="000A28D8">
                                <w:rPr>
                                  <w:rFonts w:ascii="Times New Roman" w:eastAsia="宋体" w:hAnsi="Times New Roman" w:cs="宋体" w:hint="eastAsia"/>
                                  <w:kern w:val="0"/>
                                  <w:sz w:val="28"/>
                                  <w:szCs w:val="28"/>
                                </w:rPr>
                                <w:t>岗岗位津贴。</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Times New Roman" w:eastAsia="宋体" w:hAnsi="Times New Roman" w:cs="宋体" w:hint="eastAsia"/>
                                  <w:kern w:val="0"/>
                                  <w:sz w:val="28"/>
                                  <w:szCs w:val="28"/>
                                </w:rPr>
                                <w:t>（</w:t>
                              </w:r>
                              <w:r w:rsidRPr="000A28D8">
                                <w:rPr>
                                  <w:rFonts w:ascii="宋体" w:eastAsia="宋体" w:hAnsi="宋体" w:cs="宋体"/>
                                  <w:kern w:val="0"/>
                                  <w:sz w:val="28"/>
                                  <w:szCs w:val="28"/>
                                </w:rPr>
                                <w:t>3</w:t>
                              </w:r>
                              <w:r w:rsidRPr="000A28D8">
                                <w:rPr>
                                  <w:rFonts w:ascii="Times New Roman" w:eastAsia="宋体" w:hAnsi="Times New Roman" w:cs="宋体" w:hint="eastAsia"/>
                                  <w:kern w:val="0"/>
                                  <w:sz w:val="28"/>
                                  <w:szCs w:val="28"/>
                                </w:rPr>
                                <w:t>）从医学部优秀博士后人员中择优推荐人选，参加北京大学优秀博士后评选。对获得北京大学优秀博士后奖者，医学</w:t>
                              </w:r>
                              <w:proofErr w:type="gramStart"/>
                              <w:r w:rsidRPr="000A28D8">
                                <w:rPr>
                                  <w:rFonts w:ascii="Times New Roman" w:eastAsia="宋体" w:hAnsi="Times New Roman" w:cs="宋体" w:hint="eastAsia"/>
                                  <w:kern w:val="0"/>
                                  <w:sz w:val="28"/>
                                  <w:szCs w:val="28"/>
                                </w:rPr>
                                <w:t>部将再</w:t>
                              </w:r>
                              <w:proofErr w:type="gramEnd"/>
                              <w:r w:rsidRPr="000A28D8">
                                <w:rPr>
                                  <w:rFonts w:ascii="Times New Roman" w:eastAsia="宋体" w:hAnsi="Times New Roman" w:cs="宋体" w:hint="eastAsia"/>
                                  <w:kern w:val="0"/>
                                  <w:sz w:val="28"/>
                                  <w:szCs w:val="28"/>
                                </w:rPr>
                                <w:t>给予一定奖励。</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A28D8">
                                <w:rPr>
                                  <w:rFonts w:ascii="Times New Roman" w:eastAsia="宋体" w:hAnsi="Times New Roman" w:cs="宋体" w:hint="eastAsia"/>
                                  <w:kern w:val="0"/>
                                  <w:sz w:val="28"/>
                                  <w:szCs w:val="28"/>
                                </w:rPr>
                                <w:t>本计划从</w:t>
                              </w:r>
                              <w:r w:rsidRPr="000A28D8">
                                <w:rPr>
                                  <w:rFonts w:ascii="宋体" w:eastAsia="宋体" w:hAnsi="宋体" w:cs="宋体"/>
                                  <w:kern w:val="0"/>
                                  <w:sz w:val="28"/>
                                  <w:szCs w:val="28"/>
                                </w:rPr>
                                <w:t>2011</w:t>
                              </w:r>
                              <w:r w:rsidRPr="000A28D8">
                                <w:rPr>
                                  <w:rFonts w:ascii="Times New Roman" w:eastAsia="宋体" w:hAnsi="Times New Roman" w:cs="宋体" w:hint="eastAsia"/>
                                  <w:kern w:val="0"/>
                                  <w:sz w:val="28"/>
                                  <w:szCs w:val="28"/>
                                </w:rPr>
                                <w:t>年</w:t>
                              </w:r>
                              <w:r w:rsidRPr="000A28D8">
                                <w:rPr>
                                  <w:rFonts w:ascii="宋体" w:eastAsia="宋体" w:hAnsi="宋体" w:cs="宋体"/>
                                  <w:kern w:val="0"/>
                                  <w:sz w:val="28"/>
                                  <w:szCs w:val="28"/>
                                </w:rPr>
                                <w:t>1</w:t>
                              </w:r>
                              <w:r w:rsidRPr="000A28D8">
                                <w:rPr>
                                  <w:rFonts w:ascii="Times New Roman" w:eastAsia="宋体" w:hAnsi="Times New Roman" w:cs="宋体" w:hint="eastAsia"/>
                                  <w:kern w:val="0"/>
                                  <w:sz w:val="28"/>
                                  <w:szCs w:val="28"/>
                                </w:rPr>
                                <w:t>月</w:t>
                              </w:r>
                              <w:r w:rsidRPr="000A28D8">
                                <w:rPr>
                                  <w:rFonts w:ascii="宋体" w:eastAsia="宋体" w:hAnsi="宋体" w:cs="宋体"/>
                                  <w:kern w:val="0"/>
                                  <w:sz w:val="28"/>
                                  <w:szCs w:val="28"/>
                                </w:rPr>
                                <w:t>1</w:t>
                              </w:r>
                              <w:r w:rsidRPr="000A28D8">
                                <w:rPr>
                                  <w:rFonts w:ascii="Times New Roman" w:eastAsia="宋体" w:hAnsi="Times New Roman" w:cs="宋体" w:hint="eastAsia"/>
                                  <w:kern w:val="0"/>
                                  <w:sz w:val="28"/>
                                  <w:szCs w:val="28"/>
                                </w:rPr>
                                <w:t>日起执行，由医学部人事处负责解释。</w:t>
                              </w:r>
                              <w:r w:rsidRPr="000A28D8">
                                <w:rPr>
                                  <w:rFonts w:ascii="宋体" w:eastAsia="宋体" w:hAnsi="宋体" w:cs="宋体" w:hint="eastAsia"/>
                                  <w:kern w:val="0"/>
                                  <w:sz w:val="28"/>
                                  <w:szCs w:val="28"/>
                                </w:rPr>
                                <w:t>各医院参照执行，所需经费由各医院承担。</w:t>
                              </w:r>
                            </w:p>
                            <w:p w:rsidR="000A28D8" w:rsidRPr="000A28D8" w:rsidRDefault="000A28D8" w:rsidP="000A28D8">
                              <w:pPr>
                                <w:widowControl/>
                                <w:spacing w:before="100" w:beforeAutospacing="1" w:after="100" w:afterAutospacing="1" w:line="480" w:lineRule="exact"/>
                                <w:ind w:firstLineChars="200" w:firstLine="560"/>
                                <w:jc w:val="left"/>
                                <w:rPr>
                                  <w:rFonts w:ascii="宋体" w:eastAsia="宋体" w:hAnsi="宋体" w:cs="宋体"/>
                                  <w:kern w:val="0"/>
                                  <w:sz w:val="28"/>
                                  <w:szCs w:val="28"/>
                                </w:rPr>
                              </w:pPr>
                            </w:p>
                          </w:tc>
                        </w:tr>
                        <w:tr w:rsidR="000A28D8" w:rsidRPr="000A28D8">
                          <w:trPr>
                            <w:trHeight w:val="120"/>
                            <w:tblCellSpacing w:w="15" w:type="dxa"/>
                            <w:jc w:val="center"/>
                          </w:trPr>
                          <w:tc>
                            <w:tcPr>
                              <w:tcW w:w="0" w:type="auto"/>
                              <w:tcMar>
                                <w:top w:w="15" w:type="dxa"/>
                                <w:left w:w="720" w:type="dxa"/>
                                <w:bottom w:w="15" w:type="dxa"/>
                                <w:right w:w="15" w:type="dxa"/>
                              </w:tcMar>
                              <w:vAlign w:val="center"/>
                              <w:hideMark/>
                            </w:tcPr>
                            <w:p w:rsidR="000A28D8" w:rsidRPr="000A28D8" w:rsidRDefault="000A28D8" w:rsidP="000A28D8">
                              <w:pPr>
                                <w:widowControl/>
                                <w:spacing w:beforeAutospacing="1" w:after="240" w:line="264" w:lineRule="atLeast"/>
                                <w:jc w:val="left"/>
                                <w:rPr>
                                  <w:rFonts w:ascii="宋体" w:eastAsia="宋体" w:hAnsi="宋体" w:cs="宋体"/>
                                  <w:kern w:val="0"/>
                                  <w:sz w:val="12"/>
                                  <w:szCs w:val="21"/>
                                </w:rPr>
                              </w:pPr>
                            </w:p>
                          </w:tc>
                        </w:tr>
                      </w:tbl>
                      <w:p w:rsidR="000A28D8" w:rsidRPr="000A28D8" w:rsidRDefault="000A28D8" w:rsidP="000A28D8">
                        <w:pPr>
                          <w:widowControl/>
                          <w:spacing w:after="240" w:line="240" w:lineRule="atLeast"/>
                          <w:jc w:val="left"/>
                          <w:rPr>
                            <w:rFonts w:ascii="宋体" w:eastAsia="宋体" w:hAnsi="宋体" w:cs="宋体"/>
                            <w:kern w:val="0"/>
                            <w:sz w:val="18"/>
                            <w:szCs w:val="18"/>
                          </w:rPr>
                        </w:pPr>
                      </w:p>
                      <w:tbl>
                        <w:tblPr>
                          <w:tblW w:w="4500" w:type="pct"/>
                          <w:jc w:val="center"/>
                          <w:tblCellSpacing w:w="15" w:type="dxa"/>
                          <w:tblCellMar>
                            <w:top w:w="15" w:type="dxa"/>
                            <w:left w:w="15" w:type="dxa"/>
                            <w:bottom w:w="15" w:type="dxa"/>
                            <w:right w:w="15" w:type="dxa"/>
                          </w:tblCellMar>
                          <w:tblLook w:val="04A0"/>
                        </w:tblPr>
                        <w:tblGrid>
                          <w:gridCol w:w="8402"/>
                        </w:tblGrid>
                        <w:tr w:rsidR="000A28D8" w:rsidRPr="000A28D8">
                          <w:trPr>
                            <w:tblCellSpacing w:w="15" w:type="dxa"/>
                            <w:jc w:val="center"/>
                          </w:trPr>
                          <w:tc>
                            <w:tcPr>
                              <w:tcW w:w="0" w:type="auto"/>
                              <w:vAlign w:val="center"/>
                              <w:hideMark/>
                            </w:tcPr>
                            <w:p w:rsidR="000A28D8" w:rsidRPr="000A28D8" w:rsidRDefault="000A28D8" w:rsidP="000A28D8">
                              <w:pPr>
                                <w:widowControl/>
                                <w:spacing w:line="240" w:lineRule="atLeast"/>
                                <w:jc w:val="right"/>
                                <w:rPr>
                                  <w:rFonts w:ascii="宋体" w:eastAsia="宋体" w:hAnsi="宋体" w:cs="宋体"/>
                                  <w:kern w:val="0"/>
                                  <w:szCs w:val="21"/>
                                </w:rPr>
                              </w:pPr>
                            </w:p>
                          </w:tc>
                        </w:tr>
                      </w:tbl>
                      <w:p w:rsidR="000A28D8" w:rsidRPr="000A28D8" w:rsidRDefault="000A28D8" w:rsidP="000A28D8">
                        <w:pPr>
                          <w:widowControl/>
                          <w:spacing w:line="240" w:lineRule="atLeast"/>
                          <w:jc w:val="left"/>
                          <w:rPr>
                            <w:rFonts w:ascii="宋体" w:eastAsia="宋体" w:hAnsi="宋体" w:cs="宋体"/>
                            <w:kern w:val="0"/>
                            <w:sz w:val="18"/>
                            <w:szCs w:val="18"/>
                          </w:rPr>
                        </w:pPr>
                      </w:p>
                    </w:tc>
                  </w:tr>
                </w:tbl>
                <w:p w:rsidR="000A28D8" w:rsidRPr="000A28D8" w:rsidRDefault="000A28D8" w:rsidP="000A28D8">
                  <w:pPr>
                    <w:widowControl/>
                    <w:spacing w:line="240" w:lineRule="atLeast"/>
                    <w:jc w:val="left"/>
                    <w:rPr>
                      <w:rFonts w:ascii="宋体" w:eastAsia="宋体" w:hAnsi="宋体" w:cs="宋体"/>
                      <w:kern w:val="0"/>
                      <w:sz w:val="18"/>
                      <w:szCs w:val="18"/>
                    </w:rPr>
                  </w:pPr>
                </w:p>
              </w:tc>
            </w:tr>
          </w:tbl>
          <w:p w:rsidR="000A28D8" w:rsidRPr="000A28D8" w:rsidRDefault="000A28D8" w:rsidP="000A28D8">
            <w:pPr>
              <w:widowControl/>
              <w:spacing w:line="240" w:lineRule="atLeast"/>
              <w:jc w:val="left"/>
              <w:rPr>
                <w:rFonts w:ascii="宋体" w:eastAsia="宋体" w:hAnsi="宋体" w:cs="宋体"/>
                <w:kern w:val="0"/>
                <w:sz w:val="18"/>
                <w:szCs w:val="18"/>
              </w:rPr>
            </w:pPr>
          </w:p>
        </w:tc>
      </w:tr>
    </w:tbl>
    <w:p w:rsidR="000A28D8" w:rsidRPr="000A28D8" w:rsidRDefault="000A28D8" w:rsidP="000A28D8">
      <w:pPr>
        <w:widowControl/>
        <w:jc w:val="left"/>
        <w:rPr>
          <w:rFonts w:ascii="宋体" w:eastAsia="宋体" w:hAnsi="宋体" w:cs="宋体"/>
          <w:vanish/>
          <w:kern w:val="0"/>
          <w:sz w:val="24"/>
          <w:szCs w:val="24"/>
        </w:rPr>
      </w:pPr>
    </w:p>
    <w:sectPr w:rsidR="000A28D8" w:rsidRPr="000A28D8" w:rsidSect="00282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E61" w:rsidRDefault="00C22E61" w:rsidP="000A28D8">
      <w:r>
        <w:separator/>
      </w:r>
    </w:p>
  </w:endnote>
  <w:endnote w:type="continuationSeparator" w:id="0">
    <w:p w:rsidR="00C22E61" w:rsidRDefault="00C22E61" w:rsidP="000A28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E61" w:rsidRDefault="00C22E61" w:rsidP="000A28D8">
      <w:r>
        <w:separator/>
      </w:r>
    </w:p>
  </w:footnote>
  <w:footnote w:type="continuationSeparator" w:id="0">
    <w:p w:rsidR="00C22E61" w:rsidRDefault="00C22E61" w:rsidP="000A28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28D8"/>
    <w:rsid w:val="000168C3"/>
    <w:rsid w:val="0006764D"/>
    <w:rsid w:val="000A28D8"/>
    <w:rsid w:val="000E4875"/>
    <w:rsid w:val="001169E0"/>
    <w:rsid w:val="00192C47"/>
    <w:rsid w:val="00221083"/>
    <w:rsid w:val="00282687"/>
    <w:rsid w:val="0031009E"/>
    <w:rsid w:val="003E36BA"/>
    <w:rsid w:val="004747F1"/>
    <w:rsid w:val="004A43B0"/>
    <w:rsid w:val="004B7DB6"/>
    <w:rsid w:val="004D7D68"/>
    <w:rsid w:val="00513914"/>
    <w:rsid w:val="005863ED"/>
    <w:rsid w:val="005F0846"/>
    <w:rsid w:val="006B783B"/>
    <w:rsid w:val="00725530"/>
    <w:rsid w:val="008F2AEB"/>
    <w:rsid w:val="008F59F1"/>
    <w:rsid w:val="00BE7080"/>
    <w:rsid w:val="00C22E61"/>
    <w:rsid w:val="00C26EBC"/>
    <w:rsid w:val="00E26D71"/>
    <w:rsid w:val="00E503B1"/>
    <w:rsid w:val="00EB0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semiHidden/>
    <w:unhideWhenUsed/>
    <w:rsid w:val="000A28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28D8"/>
    <w:rPr>
      <w:sz w:val="18"/>
      <w:szCs w:val="18"/>
    </w:rPr>
  </w:style>
  <w:style w:type="paragraph" w:styleId="a4">
    <w:name w:val="footer"/>
    <w:basedOn w:val="a"/>
    <w:link w:val="Char0"/>
    <w:uiPriority w:val="99"/>
    <w:semiHidden/>
    <w:unhideWhenUsed/>
    <w:rsid w:val="000A28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28D8"/>
    <w:rPr>
      <w:sz w:val="18"/>
      <w:szCs w:val="18"/>
    </w:rPr>
  </w:style>
  <w:style w:type="character" w:styleId="a5">
    <w:name w:val="Hyperlink"/>
    <w:basedOn w:val="a0"/>
    <w:uiPriority w:val="99"/>
    <w:semiHidden/>
    <w:unhideWhenUsed/>
    <w:rsid w:val="000A28D8"/>
    <w:rPr>
      <w:strike w:val="0"/>
      <w:dstrike w:val="0"/>
      <w:color w:val="000000"/>
      <w:u w:val="none"/>
      <w:effect w:val="none"/>
    </w:rPr>
  </w:style>
  <w:style w:type="paragraph" w:styleId="a6">
    <w:name w:val="Normal (Web)"/>
    <w:basedOn w:val="a"/>
    <w:uiPriority w:val="99"/>
    <w:unhideWhenUsed/>
    <w:rsid w:val="000A28D8"/>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0A28D8"/>
    <w:rPr>
      <w:sz w:val="18"/>
      <w:szCs w:val="18"/>
    </w:rPr>
  </w:style>
  <w:style w:type="character" w:customStyle="1" w:styleId="Char1">
    <w:name w:val="批注框文本 Char"/>
    <w:basedOn w:val="a0"/>
    <w:link w:val="a7"/>
    <w:uiPriority w:val="99"/>
    <w:semiHidden/>
    <w:rsid w:val="000A28D8"/>
    <w:rPr>
      <w:sz w:val="18"/>
      <w:szCs w:val="18"/>
    </w:rPr>
  </w:style>
</w:styles>
</file>

<file path=word/webSettings.xml><?xml version="1.0" encoding="utf-8"?>
<w:webSettings xmlns:r="http://schemas.openxmlformats.org/officeDocument/2006/relationships" xmlns:w="http://schemas.openxmlformats.org/wordprocessingml/2006/main">
  <w:divs>
    <w:div w:id="1151797277">
      <w:bodyDiv w:val="1"/>
      <w:marLeft w:val="0"/>
      <w:marRight w:val="0"/>
      <w:marTop w:val="0"/>
      <w:marBottom w:val="0"/>
      <w:divBdr>
        <w:top w:val="none" w:sz="0" w:space="0" w:color="auto"/>
        <w:left w:val="none" w:sz="0" w:space="0" w:color="auto"/>
        <w:bottom w:val="none" w:sz="0" w:space="0" w:color="auto"/>
        <w:right w:val="none" w:sz="0" w:space="0" w:color="auto"/>
      </w:divBdr>
      <w:divsChild>
        <w:div w:id="1108507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257</Words>
  <Characters>1468</Characters>
  <Application>Microsoft Office Word</Application>
  <DocSecurity>0</DocSecurity>
  <Lines>12</Lines>
  <Paragraphs>3</Paragraphs>
  <ScaleCrop>false</ScaleCrop>
  <Company>BJcancer</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李香蕊</dc:creator>
  <cp:keywords/>
  <dc:description/>
  <cp:lastModifiedBy>李香蕊</cp:lastModifiedBy>
  <cp:revision>2</cp:revision>
  <dcterms:created xsi:type="dcterms:W3CDTF">2013-10-24T08:32:00Z</dcterms:created>
  <dcterms:modified xsi:type="dcterms:W3CDTF">2013-10-24T08:33:00Z</dcterms:modified>
</cp:coreProperties>
</file>